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5A" w:rsidRDefault="0087015A" w:rsidP="008701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015A" w:rsidRDefault="0087015A" w:rsidP="0087015A">
      <w:pPr>
        <w:autoSpaceDE w:val="0"/>
        <w:autoSpaceDN w:val="0"/>
        <w:adjustRightInd w:val="0"/>
        <w:ind w:hanging="1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5DC9" w:rsidRDefault="00FA5DC9" w:rsidP="0087015A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015A" w:rsidRPr="00FA5DC9" w:rsidRDefault="0087015A" w:rsidP="0087015A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</w:rPr>
      </w:pPr>
      <w:r w:rsidRPr="00FA5DC9">
        <w:rPr>
          <w:rFonts w:ascii="Arial" w:hAnsi="Arial" w:cs="Arial"/>
          <w:b/>
          <w:bCs/>
          <w:color w:val="000000"/>
        </w:rPr>
        <w:t xml:space="preserve">ORGANISMO OPERADOR DEL AGUA POTABLE </w:t>
      </w:r>
    </w:p>
    <w:p w:rsidR="0087015A" w:rsidRPr="00FA5DC9" w:rsidRDefault="0087015A" w:rsidP="0087015A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</w:rPr>
      </w:pPr>
      <w:r w:rsidRPr="00FA5DC9">
        <w:rPr>
          <w:rFonts w:ascii="Arial" w:hAnsi="Arial" w:cs="Arial"/>
          <w:b/>
          <w:bCs/>
          <w:color w:val="000000"/>
        </w:rPr>
        <w:t>DE HUANIQUEO MICH.</w:t>
      </w:r>
    </w:p>
    <w:p w:rsidR="0087015A" w:rsidRPr="00985263" w:rsidRDefault="0087015A" w:rsidP="0087015A">
      <w:pPr>
        <w:autoSpaceDE w:val="0"/>
        <w:autoSpaceDN w:val="0"/>
        <w:adjustRightInd w:val="0"/>
        <w:ind w:hanging="14"/>
        <w:rPr>
          <w:rFonts w:ascii="Arial" w:hAnsi="Arial" w:cs="Arial"/>
          <w:bCs/>
          <w:color w:val="000000"/>
          <w:sz w:val="22"/>
          <w:szCs w:val="22"/>
        </w:rPr>
      </w:pPr>
      <w:r w:rsidRPr="00985263">
        <w:rPr>
          <w:rFonts w:ascii="Arial" w:hAnsi="Arial" w:cs="Arial"/>
          <w:bCs/>
          <w:color w:val="000000"/>
          <w:sz w:val="22"/>
          <w:szCs w:val="22"/>
        </w:rPr>
        <w:t>RFC. OOA – 990924 - LX9</w:t>
      </w:r>
    </w:p>
    <w:p w:rsidR="0087015A" w:rsidRPr="00985263" w:rsidRDefault="00D9301A" w:rsidP="0087015A">
      <w:pPr>
        <w:autoSpaceDE w:val="0"/>
        <w:autoSpaceDN w:val="0"/>
        <w:adjustRightInd w:val="0"/>
        <w:ind w:hanging="1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PERIODO 2018- 2021</w:t>
      </w:r>
    </w:p>
    <w:p w:rsidR="0087015A" w:rsidRPr="00985263" w:rsidRDefault="0087015A" w:rsidP="008701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7015A" w:rsidRPr="00985263" w:rsidRDefault="0087015A" w:rsidP="008701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7015A" w:rsidRPr="0087015A" w:rsidRDefault="00D9301A" w:rsidP="008701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PRIMER</w:t>
      </w:r>
      <w:r w:rsidR="0087015A" w:rsidRPr="0087015A">
        <w:rPr>
          <w:rFonts w:ascii="Arial" w:hAnsi="Arial" w:cs="Arial"/>
          <w:b/>
          <w:bCs/>
          <w:color w:val="000000"/>
        </w:rPr>
        <w:t xml:space="preserve"> INFORME</w:t>
      </w:r>
      <w:r w:rsidR="004201CC">
        <w:rPr>
          <w:rFonts w:ascii="Arial" w:hAnsi="Arial" w:cs="Arial"/>
          <w:b/>
          <w:bCs/>
          <w:color w:val="000000"/>
        </w:rPr>
        <w:t xml:space="preserve"> </w:t>
      </w:r>
      <w:r w:rsidR="0087015A" w:rsidRPr="0087015A">
        <w:rPr>
          <w:rFonts w:ascii="Arial" w:hAnsi="Arial" w:cs="Arial"/>
          <w:b/>
          <w:bCs/>
          <w:color w:val="000000"/>
        </w:rPr>
        <w:t>TRIMESTRAL</w:t>
      </w:r>
    </w:p>
    <w:p w:rsidR="0087015A" w:rsidRPr="0087015A" w:rsidRDefault="00435671" w:rsidP="0087015A">
      <w:pPr>
        <w:autoSpaceDE w:val="0"/>
        <w:autoSpaceDN w:val="0"/>
        <w:adjustRightInd w:val="0"/>
        <w:ind w:hanging="14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ENERO-MARZO 2021</w:t>
      </w:r>
      <w:r>
        <w:rPr>
          <w:rFonts w:ascii="Arial" w:hAnsi="Arial" w:cs="Arial"/>
          <w:bCs/>
          <w:color w:val="000000"/>
        </w:rPr>
        <w:tab/>
      </w:r>
    </w:p>
    <w:p w:rsid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7015A" w:rsidRDefault="0087015A" w:rsidP="0087015A">
      <w:pPr>
        <w:autoSpaceDE w:val="0"/>
        <w:autoSpaceDN w:val="0"/>
        <w:adjustRightInd w:val="0"/>
        <w:ind w:hanging="1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7015A" w:rsidRPr="00352D72" w:rsidRDefault="0087015A" w:rsidP="0087015A">
      <w:pPr>
        <w:autoSpaceDE w:val="0"/>
        <w:autoSpaceDN w:val="0"/>
        <w:adjustRightInd w:val="0"/>
        <w:ind w:hanging="1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52D72">
        <w:rPr>
          <w:rFonts w:ascii="Arial" w:hAnsi="Arial" w:cs="Arial"/>
          <w:b/>
          <w:bCs/>
          <w:color w:val="000000"/>
          <w:sz w:val="28"/>
          <w:szCs w:val="28"/>
        </w:rPr>
        <w:t>I N D I C E</w:t>
      </w:r>
    </w:p>
    <w:p w:rsidR="0087015A" w:rsidRDefault="0087015A" w:rsidP="0087015A">
      <w:pPr>
        <w:autoSpaceDE w:val="0"/>
        <w:autoSpaceDN w:val="0"/>
        <w:adjustRightInd w:val="0"/>
        <w:ind w:hanging="1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204E3" w:rsidRDefault="00A204E3" w:rsidP="0087015A">
      <w:pPr>
        <w:autoSpaceDE w:val="0"/>
        <w:autoSpaceDN w:val="0"/>
        <w:adjustRightInd w:val="0"/>
        <w:ind w:hanging="1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7015A" w:rsidRPr="0087015A" w:rsidRDefault="00A204E3" w:rsidP="0087015A">
      <w:pPr>
        <w:autoSpaceDE w:val="0"/>
        <w:autoSpaceDN w:val="0"/>
        <w:adjustRightInd w:val="0"/>
        <w:ind w:hanging="1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204E3">
        <w:rPr>
          <w:rFonts w:ascii="Arial" w:hAnsi="Arial" w:cs="Arial"/>
          <w:b/>
          <w:bCs/>
          <w:color w:val="000000"/>
          <w:sz w:val="28"/>
          <w:szCs w:val="28"/>
        </w:rPr>
        <w:t>1.-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7015A" w:rsidRPr="0087015A">
        <w:rPr>
          <w:rFonts w:ascii="Arial" w:hAnsi="Arial" w:cs="Arial"/>
          <w:bCs/>
          <w:color w:val="000000"/>
          <w:sz w:val="20"/>
          <w:szCs w:val="20"/>
        </w:rPr>
        <w:t xml:space="preserve">Estados financieros básicos </w:t>
      </w:r>
      <w:r w:rsidR="00435671">
        <w:rPr>
          <w:rFonts w:ascii="Arial" w:hAnsi="Arial" w:cs="Arial"/>
          <w:bCs/>
          <w:color w:val="000000"/>
          <w:sz w:val="20"/>
          <w:szCs w:val="20"/>
        </w:rPr>
        <w:t>del Primer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informe trimestral conteniendo al</w:t>
      </w:r>
      <w:r w:rsidR="0087015A" w:rsidRPr="0087015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55CDA">
        <w:rPr>
          <w:rFonts w:ascii="Arial" w:hAnsi="Arial" w:cs="Arial"/>
          <w:bCs/>
          <w:color w:val="000000"/>
          <w:sz w:val="20"/>
          <w:szCs w:val="20"/>
        </w:rPr>
        <w:t>31</w:t>
      </w:r>
      <w:r w:rsidR="00352D72">
        <w:rPr>
          <w:rFonts w:ascii="Arial" w:hAnsi="Arial" w:cs="Arial"/>
          <w:bCs/>
          <w:color w:val="000000"/>
          <w:sz w:val="20"/>
          <w:szCs w:val="20"/>
        </w:rPr>
        <w:t xml:space="preserve"> de </w:t>
      </w:r>
      <w:r w:rsidR="00435671">
        <w:rPr>
          <w:rFonts w:ascii="Arial" w:hAnsi="Arial" w:cs="Arial"/>
          <w:bCs/>
          <w:color w:val="000000"/>
          <w:sz w:val="20"/>
          <w:szCs w:val="20"/>
        </w:rPr>
        <w:t>Marzo del 2021</w:t>
      </w:r>
      <w:r w:rsidR="0087015A" w:rsidRPr="0087015A">
        <w:rPr>
          <w:rFonts w:ascii="Arial" w:hAnsi="Arial" w:cs="Arial"/>
          <w:bCs/>
          <w:color w:val="000000"/>
          <w:sz w:val="20"/>
          <w:szCs w:val="20"/>
        </w:rPr>
        <w:t>, y sus anexos en su caso.</w:t>
      </w: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87015A" w:rsidRPr="0075344B" w:rsidRDefault="0087015A" w:rsidP="0087015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s-MX" w:eastAsia="es-MX"/>
        </w:rPr>
      </w:pPr>
      <w:r w:rsidRPr="0075344B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I. </w:t>
      </w:r>
      <w:r w:rsidRPr="0075344B">
        <w:rPr>
          <w:rFonts w:ascii="Arial" w:hAnsi="Arial" w:cs="Arial"/>
          <w:b/>
          <w:sz w:val="20"/>
          <w:szCs w:val="20"/>
          <w:lang w:val="es-MX" w:eastAsia="es-MX"/>
        </w:rPr>
        <w:t>Información contable, con la desagregación siguiente:</w:t>
      </w: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Cs/>
          <w:sz w:val="20"/>
          <w:szCs w:val="20"/>
          <w:lang w:val="es-MX" w:eastAsia="es-MX"/>
        </w:rPr>
        <w:t xml:space="preserve">a)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Estado de Situación Financiera;</w:t>
      </w: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sz w:val="20"/>
          <w:szCs w:val="20"/>
          <w:lang w:val="es-MX" w:eastAsia="es-MX"/>
        </w:rPr>
        <w:t>b) Estado de Actividades;</w:t>
      </w: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Cs/>
          <w:sz w:val="20"/>
          <w:szCs w:val="20"/>
          <w:lang w:val="es-MX" w:eastAsia="es-MX"/>
        </w:rPr>
        <w:t xml:space="preserve">c)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Estado de Variaciones en la Hacienda Pública/Patrimonio;</w:t>
      </w: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Cs/>
          <w:sz w:val="20"/>
          <w:szCs w:val="20"/>
          <w:lang w:val="es-MX" w:eastAsia="es-MX"/>
        </w:rPr>
        <w:t xml:space="preserve">d)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Estado de Cambios en la Situación Financiera; (Estado de Flujos de Efectivo);</w:t>
      </w: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Cs/>
          <w:sz w:val="20"/>
          <w:szCs w:val="20"/>
          <w:lang w:val="es-MX" w:eastAsia="es-MX"/>
        </w:rPr>
        <w:t xml:space="preserve">e)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Estado Analítico del Activo;</w:t>
      </w: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Cs/>
          <w:sz w:val="20"/>
          <w:szCs w:val="20"/>
          <w:lang w:val="es-MX" w:eastAsia="es-MX"/>
        </w:rPr>
        <w:t xml:space="preserve">f)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Notas a los Estados Financieros; (De Desglose, de Memoria y de Gestión).</w:t>
      </w: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</w:p>
    <w:p w:rsidR="0087015A" w:rsidRPr="0075344B" w:rsidRDefault="0087015A" w:rsidP="0087015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s-MX" w:eastAsia="es-MX"/>
        </w:rPr>
      </w:pPr>
      <w:r w:rsidRPr="0075344B">
        <w:rPr>
          <w:rFonts w:ascii="Arial" w:hAnsi="Arial" w:cs="Arial"/>
          <w:b/>
          <w:bCs/>
          <w:color w:val="000000"/>
          <w:sz w:val="20"/>
          <w:szCs w:val="20"/>
          <w:lang w:val="es-MX" w:eastAsia="es-MX"/>
        </w:rPr>
        <w:t xml:space="preserve">II. </w:t>
      </w:r>
      <w:r w:rsidRPr="0075344B">
        <w:rPr>
          <w:rFonts w:ascii="Arial" w:hAnsi="Arial" w:cs="Arial"/>
          <w:b/>
          <w:color w:val="000000"/>
          <w:sz w:val="20"/>
          <w:szCs w:val="20"/>
          <w:lang w:val="es-MX" w:eastAsia="es-MX"/>
        </w:rPr>
        <w:t>Información presupuestaria, con la desagregación siguiente:</w:t>
      </w:r>
    </w:p>
    <w:p w:rsidR="0087015A" w:rsidRPr="0087015A" w:rsidRDefault="0087015A" w:rsidP="008701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analítico de ingresos, del que se derivará la presentación en clasificación económica por fuente de financiamiento y concepto, incluyendo los ingresos excedentes generados;</w:t>
      </w:r>
    </w:p>
    <w:p w:rsidR="0087015A" w:rsidRP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</w:p>
    <w:p w:rsidR="0087015A" w:rsidRPr="0087015A" w:rsidRDefault="0087015A" w:rsidP="008701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Analítico de Ingresos Presupuestales por Ente Público/Rubro;</w:t>
      </w:r>
    </w:p>
    <w:p w:rsidR="0087015A" w:rsidRPr="0087015A" w:rsidRDefault="0087015A" w:rsidP="008701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Analítico de Ingresos Presupuestales por Ente Público/Rubro/Tipo;</w:t>
      </w:r>
    </w:p>
    <w:p w:rsidR="0087015A" w:rsidRPr="0087015A" w:rsidRDefault="0087015A" w:rsidP="008701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Analítico de Ingresos Presupuestales por Ente Público/Rubro/Tipo/Clase;</w:t>
      </w:r>
    </w:p>
    <w:p w:rsidR="0087015A" w:rsidRPr="0087015A" w:rsidRDefault="0087015A" w:rsidP="008701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Analítico de Ingresos Presupuestales por Ente Público/Área Administrativa Recaudadora/Rubro/Tipo/Clase;</w:t>
      </w:r>
    </w:p>
    <w:p w:rsidR="0087015A" w:rsidRPr="0087015A" w:rsidRDefault="0087015A" w:rsidP="008701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Analítico de Ingresos Presupuestales por Ente Público/Clasificación Económica/Rubro/Tipo;</w:t>
      </w:r>
    </w:p>
    <w:p w:rsidR="0087015A" w:rsidRPr="0087015A" w:rsidRDefault="0087015A" w:rsidP="008701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Estado Analítico de Ingresos </w:t>
      </w:r>
      <w:bookmarkStart w:id="0" w:name="_GoBack"/>
      <w:bookmarkEnd w:id="0"/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Presupuestales por Ente Público/Clasificación Económica/Rubro/Tipo/Clase.</w:t>
      </w:r>
    </w:p>
    <w:p w:rsidR="0087015A" w:rsidRP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es-MX" w:eastAsia="es-MX"/>
        </w:rPr>
      </w:pPr>
    </w:p>
    <w:p w:rsidR="0087015A" w:rsidRP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color w:val="000000"/>
          <w:sz w:val="20"/>
          <w:szCs w:val="20"/>
          <w:lang w:val="es-MX" w:eastAsia="es-MX"/>
        </w:rPr>
        <w:t xml:space="preserve">b) </w:t>
      </w: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analítico del ejercicio del presupuesto de egresos del que se derivarán las</w:t>
      </w:r>
    </w:p>
    <w:p w:rsidR="0087015A" w:rsidRPr="0087015A" w:rsidRDefault="0075344B" w:rsidP="00870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Siguientes</w:t>
      </w:r>
      <w:r w:rsidR="0087015A"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 xml:space="preserve"> clasificaciones:</w:t>
      </w:r>
    </w:p>
    <w:p w:rsidR="0075344B" w:rsidRDefault="0075344B" w:rsidP="008701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87015A" w:rsidRPr="0087015A" w:rsidRDefault="0087015A" w:rsidP="0087015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I.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Administrativa;</w:t>
      </w:r>
    </w:p>
    <w:p w:rsidR="0087015A" w:rsidRPr="0075344B" w:rsidRDefault="0087015A" w:rsidP="0075344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II.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Económica y por objeto del gasto, y</w:t>
      </w:r>
    </w:p>
    <w:p w:rsidR="0087015A" w:rsidRPr="0075344B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75344B">
        <w:rPr>
          <w:rFonts w:ascii="Arial" w:hAnsi="Arial" w:cs="Arial"/>
          <w:b/>
          <w:bCs/>
          <w:sz w:val="20"/>
          <w:szCs w:val="20"/>
          <w:lang w:val="es-MX" w:eastAsia="es-MX"/>
        </w:rPr>
        <w:t>III.</w:t>
      </w:r>
      <w:r w:rsidRPr="0075344B">
        <w:rPr>
          <w:rFonts w:ascii="Arial" w:hAnsi="Arial" w:cs="Arial"/>
          <w:bCs/>
          <w:sz w:val="20"/>
          <w:szCs w:val="20"/>
          <w:lang w:val="es-MX" w:eastAsia="es-MX"/>
        </w:rPr>
        <w:t xml:space="preserve"> </w:t>
      </w:r>
      <w:r w:rsidRPr="0075344B">
        <w:rPr>
          <w:rFonts w:ascii="Arial" w:hAnsi="Arial" w:cs="Arial"/>
          <w:sz w:val="20"/>
          <w:szCs w:val="20"/>
          <w:lang w:val="es-MX" w:eastAsia="es-MX"/>
        </w:rPr>
        <w:t>Funcional-programática;</w:t>
      </w:r>
    </w:p>
    <w:p w:rsidR="0087015A" w:rsidRP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</w:p>
    <w:p w:rsidR="0087015A" w:rsidRP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sz w:val="20"/>
          <w:szCs w:val="20"/>
          <w:lang w:val="es-MX" w:eastAsia="es-MX"/>
        </w:rPr>
        <w:t>Estados e informes agregados:</w:t>
      </w:r>
    </w:p>
    <w:p w:rsidR="0087015A" w:rsidRPr="0087015A" w:rsidRDefault="0087015A" w:rsidP="0087015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Ente Público/Capítulo del Gasto;</w:t>
      </w:r>
    </w:p>
    <w:p w:rsidR="0087015A" w:rsidRPr="0087015A" w:rsidRDefault="0087015A" w:rsidP="0087015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Ente Público/Clasificación Económica;</w:t>
      </w:r>
    </w:p>
    <w:p w:rsidR="0087015A" w:rsidRPr="0087015A" w:rsidRDefault="0087015A" w:rsidP="0087015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Ente Público/Clasificación Económica/Capítulo del Gasto;</w:t>
      </w:r>
    </w:p>
    <w:p w:rsidR="0087015A" w:rsidRPr="0087015A" w:rsidRDefault="0087015A" w:rsidP="0087015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lastRenderedPageBreak/>
        <w:t>Estado del Ejercicio del Presupuesto por Capítulo del Gasto por Ente Público/Función;</w:t>
      </w:r>
    </w:p>
    <w:p w:rsidR="0087015A" w:rsidRPr="0087015A" w:rsidRDefault="0087015A" w:rsidP="0087015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Ente Público/Fuente de Financiamiento.</w:t>
      </w:r>
    </w:p>
    <w:p w:rsidR="0087015A" w:rsidRPr="0087015A" w:rsidRDefault="0087015A" w:rsidP="0087015A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</w:p>
    <w:p w:rsidR="0087015A" w:rsidRP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Estados e informes Administrativos: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Dependencia/Unidad Responsable;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Dependencia/Clasificación Económica;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Dependencia/Clasificación Económica/Capítulo del Gasto;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Dependencia/Capítulo y Concepto del Gasto;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Dependencia/Función a Segundo y Tercer Dígito;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Dependencia/Unidad Responsable/ Capítulo y Concepto del Gasto;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Dependencia/Programa.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Dependencia/Unidad Responsable/Programa;</w:t>
      </w:r>
    </w:p>
    <w:p w:rsidR="0087015A" w:rsidRPr="0087015A" w:rsidRDefault="0087015A" w:rsidP="008701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  <w:r w:rsidRPr="0087015A">
        <w:rPr>
          <w:rFonts w:ascii="Arial" w:hAnsi="Arial" w:cs="Arial"/>
          <w:color w:val="000000"/>
          <w:sz w:val="20"/>
          <w:szCs w:val="20"/>
          <w:lang w:val="es-MX" w:eastAsia="es-MX"/>
        </w:rPr>
        <w:t>Estado del Ejercicio del Presupuesto por Capítulo del Gasto por Ramo o Dependencia/Unidad Responsable/Programa/Objeto del Gasto por Capítulo.</w:t>
      </w:r>
    </w:p>
    <w:p w:rsidR="0087015A" w:rsidRP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s-MX" w:eastAsia="es-MX"/>
        </w:rPr>
      </w:pPr>
    </w:p>
    <w:p w:rsidR="0087015A" w:rsidRPr="0087015A" w:rsidRDefault="0087015A" w:rsidP="0087015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87015A" w:rsidRDefault="00A204E3" w:rsidP="006868E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204E3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87015A" w:rsidRPr="00A204E3">
        <w:rPr>
          <w:rFonts w:ascii="Arial" w:hAnsi="Arial" w:cs="Arial"/>
          <w:b/>
          <w:bCs/>
          <w:color w:val="000000"/>
          <w:sz w:val="28"/>
          <w:szCs w:val="28"/>
        </w:rPr>
        <w:t>.-</w:t>
      </w:r>
      <w:r w:rsidR="0087015A" w:rsidRPr="0087015A">
        <w:rPr>
          <w:rFonts w:ascii="Arial" w:hAnsi="Arial" w:cs="Arial"/>
          <w:bCs/>
          <w:color w:val="000000"/>
          <w:sz w:val="20"/>
          <w:szCs w:val="20"/>
        </w:rPr>
        <w:t xml:space="preserve"> Copia de las actas de sesión del Ayuntamiento, certificadas por el Secretario, realizadas en el trimestre de que se trate, en donde conste la aprobación de:</w:t>
      </w:r>
    </w:p>
    <w:p w:rsidR="0075344B" w:rsidRPr="0087015A" w:rsidRDefault="0075344B" w:rsidP="006868E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7015A">
        <w:rPr>
          <w:rFonts w:ascii="Arial" w:hAnsi="Arial" w:cs="Arial"/>
          <w:color w:val="000000"/>
          <w:sz w:val="20"/>
          <w:szCs w:val="20"/>
        </w:rPr>
        <w:t xml:space="preserve">a).- Plan Municipal de Desarrollo; </w:t>
      </w:r>
      <w:r w:rsidRPr="0087015A">
        <w:rPr>
          <w:rFonts w:ascii="Arial" w:hAnsi="Arial" w:cs="Arial"/>
          <w:i/>
          <w:color w:val="000000"/>
          <w:sz w:val="20"/>
          <w:szCs w:val="20"/>
        </w:rPr>
        <w:t>(ART. 33 fracción I de la Ley de Planeación del Estado de Michoacán de Ocampo, ART. 32 inciso b) fracción I de la Ley Orgánica Municipal del Estado de Michoacán de Ocampo, ART 130 primer párrafo de la Constitución Política del Estado Libre y Soberano de Michoacán de Ocampo).</w:t>
      </w: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015A">
        <w:rPr>
          <w:rFonts w:ascii="Arial" w:hAnsi="Arial" w:cs="Arial"/>
          <w:color w:val="000000"/>
          <w:sz w:val="20"/>
          <w:szCs w:val="20"/>
        </w:rPr>
        <w:t xml:space="preserve">b).- El Programa Operativo Anual y sus modificaciones; </w:t>
      </w:r>
      <w:r w:rsidRPr="0087015A">
        <w:rPr>
          <w:rFonts w:ascii="Arial" w:hAnsi="Arial" w:cs="Arial"/>
          <w:i/>
          <w:color w:val="000000"/>
          <w:sz w:val="20"/>
          <w:szCs w:val="20"/>
        </w:rPr>
        <w:t>(ART. 49 fracción X de la Ley Orgánica Municipal del Estado de Michoacán de Ocampo)</w:t>
      </w:r>
      <w:r w:rsidRPr="0087015A">
        <w:rPr>
          <w:rFonts w:ascii="Arial" w:hAnsi="Arial" w:cs="Arial"/>
          <w:color w:val="000000"/>
          <w:sz w:val="20"/>
          <w:szCs w:val="20"/>
        </w:rPr>
        <w:t>.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015A">
        <w:rPr>
          <w:rFonts w:ascii="Arial" w:hAnsi="Arial" w:cs="Arial"/>
          <w:color w:val="000000"/>
          <w:sz w:val="20"/>
          <w:szCs w:val="20"/>
        </w:rPr>
        <w:t xml:space="preserve">c).- El Presupuesto de Egresos y sus modificaciones; </w:t>
      </w:r>
      <w:r w:rsidRPr="0087015A">
        <w:rPr>
          <w:rFonts w:ascii="Arial" w:hAnsi="Arial" w:cs="Arial"/>
          <w:i/>
          <w:color w:val="000000"/>
          <w:sz w:val="20"/>
          <w:szCs w:val="20"/>
        </w:rPr>
        <w:t>(ART. 53 Y 54 Ley Presupuesto, Contabilidad Gubernamental y Gasto Público del Estado de Michoacán de Ocampo. ART. 123 fracción I de la Constitución Política del Estado Libre y Soberano de Michoacán de Ocampo)</w:t>
      </w:r>
      <w:r w:rsidRPr="0087015A">
        <w:rPr>
          <w:rFonts w:ascii="Arial" w:hAnsi="Arial" w:cs="Arial"/>
          <w:color w:val="000000"/>
          <w:sz w:val="20"/>
          <w:szCs w:val="20"/>
        </w:rPr>
        <w:t>.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7015A">
        <w:rPr>
          <w:rFonts w:ascii="Arial" w:hAnsi="Arial" w:cs="Arial"/>
          <w:color w:val="000000"/>
          <w:sz w:val="20"/>
          <w:szCs w:val="20"/>
        </w:rPr>
        <w:t xml:space="preserve">d).- </w:t>
      </w:r>
      <w:r w:rsidRPr="0087015A">
        <w:rPr>
          <w:rFonts w:ascii="Arial" w:hAnsi="Arial" w:cs="Arial"/>
          <w:sz w:val="20"/>
          <w:szCs w:val="20"/>
        </w:rPr>
        <w:t xml:space="preserve">Plantilla de Personal, Tabuladores de Sueldos y sus modificaciones; </w:t>
      </w:r>
      <w:r w:rsidRPr="0087015A">
        <w:rPr>
          <w:rFonts w:ascii="Arial" w:hAnsi="Arial" w:cs="Arial"/>
          <w:i/>
          <w:sz w:val="20"/>
          <w:szCs w:val="20"/>
        </w:rPr>
        <w:t>(ART. 52</w:t>
      </w:r>
      <w:r w:rsidRPr="0087015A">
        <w:rPr>
          <w:rFonts w:ascii="Arial" w:hAnsi="Arial" w:cs="Arial"/>
          <w:i/>
          <w:color w:val="000000"/>
          <w:sz w:val="20"/>
          <w:szCs w:val="20"/>
        </w:rPr>
        <w:t xml:space="preserve"> Ley Presupuesto, Contabilidad Gubernamental y Gasto Público del Estado de Michoacán de Ocampo).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7015A">
        <w:rPr>
          <w:rFonts w:ascii="Arial" w:hAnsi="Arial" w:cs="Arial"/>
          <w:color w:val="000000"/>
          <w:sz w:val="20"/>
          <w:szCs w:val="20"/>
        </w:rPr>
        <w:t xml:space="preserve">e).- Informes Trimestrales. </w:t>
      </w:r>
      <w:r w:rsidRPr="0087015A">
        <w:rPr>
          <w:rFonts w:ascii="Arial" w:hAnsi="Arial" w:cs="Arial"/>
          <w:i/>
          <w:color w:val="000000"/>
          <w:sz w:val="20"/>
          <w:szCs w:val="20"/>
        </w:rPr>
        <w:t>(ART. 123 fracción III de la Constitución Política del Estado Libre y Soberano de Michoacán de Ocampo. ART  31 Ley de Fiscalización Superior para el Estado de Michoacán de Ocampo).</w:t>
      </w: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204E3">
        <w:rPr>
          <w:rFonts w:ascii="Arial" w:hAnsi="Arial" w:cs="Arial"/>
          <w:b/>
          <w:color w:val="000000"/>
          <w:sz w:val="28"/>
          <w:szCs w:val="28"/>
        </w:rPr>
        <w:t>3.-</w:t>
      </w:r>
      <w:r w:rsidRPr="0087015A">
        <w:rPr>
          <w:rFonts w:ascii="Arial" w:hAnsi="Arial" w:cs="Arial"/>
          <w:color w:val="000000"/>
          <w:sz w:val="20"/>
          <w:szCs w:val="20"/>
        </w:rPr>
        <w:t xml:space="preserve"> Conciliaciones bancarias, copias de los estados </w:t>
      </w:r>
      <w:r w:rsidRPr="0087015A">
        <w:rPr>
          <w:rFonts w:ascii="Arial" w:hAnsi="Arial" w:cs="Arial"/>
          <w:sz w:val="20"/>
          <w:szCs w:val="20"/>
        </w:rPr>
        <w:t>de cuenta</w:t>
      </w:r>
      <w:r w:rsidRPr="0087015A">
        <w:rPr>
          <w:rFonts w:ascii="Arial" w:hAnsi="Arial" w:cs="Arial"/>
          <w:color w:val="000000"/>
          <w:sz w:val="20"/>
          <w:szCs w:val="20"/>
        </w:rPr>
        <w:t xml:space="preserve"> bancarios, así como de los auxiliares contables mensuales  correspondientes al trimestre de que se trate. </w:t>
      </w:r>
      <w:r w:rsidRPr="0087015A">
        <w:rPr>
          <w:rFonts w:ascii="Arial" w:hAnsi="Arial" w:cs="Arial"/>
          <w:i/>
          <w:color w:val="000000"/>
          <w:sz w:val="20"/>
          <w:szCs w:val="20"/>
        </w:rPr>
        <w:t>(ART. 69 de la Ley General de Contabilidad Gubernamental).</w:t>
      </w: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1F15E5" w:rsidRDefault="001F15E5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204E3">
        <w:rPr>
          <w:rFonts w:ascii="Arial" w:hAnsi="Arial" w:cs="Arial"/>
          <w:b/>
          <w:color w:val="000000"/>
          <w:sz w:val="28"/>
          <w:szCs w:val="28"/>
        </w:rPr>
        <w:t>4.-</w:t>
      </w:r>
      <w:r w:rsidRPr="0087015A">
        <w:rPr>
          <w:rFonts w:ascii="Arial" w:hAnsi="Arial" w:cs="Arial"/>
          <w:color w:val="000000"/>
          <w:sz w:val="20"/>
          <w:szCs w:val="20"/>
        </w:rPr>
        <w:t xml:space="preserve"> Relación de las cuentas bancarias productivas específicas, en las cuales se depositaron los recursos federales transferidos, por cualquier concepto, durante el ejercicio fiscal de que se trate. </w:t>
      </w:r>
      <w:r w:rsidRPr="0087015A">
        <w:rPr>
          <w:rFonts w:ascii="Arial" w:hAnsi="Arial" w:cs="Arial"/>
          <w:i/>
          <w:color w:val="000000"/>
          <w:sz w:val="20"/>
          <w:szCs w:val="20"/>
        </w:rPr>
        <w:t>(ART. 69 párrafo primero de la Ley General de Contabilidad Gubernamental).</w:t>
      </w:r>
    </w:p>
    <w:p w:rsid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85263" w:rsidRPr="006868E2" w:rsidRDefault="00985263" w:rsidP="0098526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868E2">
        <w:rPr>
          <w:rFonts w:ascii="Arial" w:hAnsi="Arial" w:cs="Arial"/>
          <w:bCs/>
          <w:color w:val="000000"/>
          <w:sz w:val="20"/>
          <w:szCs w:val="20"/>
        </w:rPr>
        <w:t xml:space="preserve">Se anexa escrito </w:t>
      </w:r>
    </w:p>
    <w:p w:rsidR="00985263" w:rsidRPr="0087015A" w:rsidRDefault="00985263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204E3">
        <w:rPr>
          <w:rFonts w:ascii="Arial" w:hAnsi="Arial" w:cs="Arial"/>
          <w:b/>
          <w:sz w:val="28"/>
          <w:szCs w:val="28"/>
        </w:rPr>
        <w:t>5.-</w:t>
      </w:r>
      <w:r w:rsidRPr="0087015A">
        <w:rPr>
          <w:rFonts w:ascii="Arial" w:hAnsi="Arial" w:cs="Arial"/>
          <w:sz w:val="20"/>
          <w:szCs w:val="20"/>
        </w:rPr>
        <w:t xml:space="preserve"> Análisis y descripción de las transferencias, asignaciones, subsidios y otras ayudas, con datos acumulados al último día del tercer mes del trimestre de que se trate. (</w:t>
      </w:r>
      <w:r w:rsidR="00985263">
        <w:rPr>
          <w:rFonts w:ascii="Arial" w:hAnsi="Arial" w:cs="Arial"/>
          <w:sz w:val="20"/>
          <w:szCs w:val="20"/>
        </w:rPr>
        <w:t>De</w:t>
      </w:r>
      <w:r w:rsidR="00012E2A">
        <w:rPr>
          <w:rFonts w:ascii="Arial" w:hAnsi="Arial" w:cs="Arial"/>
          <w:sz w:val="20"/>
          <w:szCs w:val="20"/>
        </w:rPr>
        <w:t xml:space="preserve"> conformidad con el anexo 7)</w:t>
      </w:r>
    </w:p>
    <w:p w:rsid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85263" w:rsidRPr="006868E2" w:rsidRDefault="00985263" w:rsidP="0098526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868E2">
        <w:rPr>
          <w:rFonts w:ascii="Arial" w:hAnsi="Arial" w:cs="Arial"/>
          <w:bCs/>
          <w:color w:val="000000"/>
          <w:sz w:val="20"/>
          <w:szCs w:val="20"/>
        </w:rPr>
        <w:t xml:space="preserve">Se anexa escrito </w:t>
      </w:r>
    </w:p>
    <w:p w:rsidR="00985263" w:rsidRDefault="00985263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85263" w:rsidRPr="0087015A" w:rsidRDefault="00985263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Default="0087015A" w:rsidP="006868E2">
      <w:p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A204E3">
        <w:rPr>
          <w:rFonts w:ascii="Arial" w:hAnsi="Arial" w:cs="Arial"/>
          <w:b/>
          <w:sz w:val="28"/>
          <w:szCs w:val="28"/>
          <w:lang w:val="es-MX" w:eastAsia="es-MX"/>
        </w:rPr>
        <w:t>6.-</w:t>
      </w:r>
      <w:r w:rsidRPr="0087015A">
        <w:rPr>
          <w:rFonts w:ascii="Arial" w:hAnsi="Arial" w:cs="Arial"/>
          <w:sz w:val="20"/>
          <w:szCs w:val="20"/>
          <w:lang w:val="es-MX" w:eastAsia="es-MX"/>
        </w:rPr>
        <w:t xml:space="preserve"> Informe respecto al ejercicio y destino del gasto federalizado, así como respecto al reintegro de los recursos federales no devengados por el municipio, el cual deberá presentarse en los formatos  aprobados </w:t>
      </w:r>
      <w:r w:rsidR="006868E2">
        <w:rPr>
          <w:rFonts w:ascii="Arial" w:hAnsi="Arial" w:cs="Arial"/>
          <w:sz w:val="20"/>
          <w:szCs w:val="20"/>
          <w:lang w:val="es-MX" w:eastAsia="es-MX"/>
        </w:rPr>
        <w:t>por el consejo para tal efecto.</w:t>
      </w:r>
    </w:p>
    <w:p w:rsidR="00985263" w:rsidRDefault="00985263" w:rsidP="006868E2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85263" w:rsidRPr="006868E2" w:rsidRDefault="00985263" w:rsidP="0098526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868E2">
        <w:rPr>
          <w:rFonts w:ascii="Arial" w:hAnsi="Arial" w:cs="Arial"/>
          <w:bCs/>
          <w:color w:val="000000"/>
          <w:sz w:val="20"/>
          <w:szCs w:val="20"/>
        </w:rPr>
        <w:t xml:space="preserve">Se anexa escrito </w:t>
      </w:r>
    </w:p>
    <w:p w:rsidR="00985263" w:rsidRPr="0087015A" w:rsidRDefault="00985263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Default="0087015A" w:rsidP="006868E2">
      <w:pPr>
        <w:jc w:val="both"/>
        <w:rPr>
          <w:rFonts w:ascii="Arial" w:hAnsi="Arial" w:cs="Arial"/>
          <w:sz w:val="20"/>
          <w:szCs w:val="20"/>
        </w:rPr>
      </w:pPr>
      <w:r w:rsidRPr="00A204E3">
        <w:rPr>
          <w:rFonts w:ascii="Arial" w:hAnsi="Arial" w:cs="Arial"/>
          <w:b/>
          <w:sz w:val="28"/>
          <w:szCs w:val="28"/>
        </w:rPr>
        <w:t>7.-</w:t>
      </w:r>
      <w:r w:rsidRPr="0087015A">
        <w:rPr>
          <w:rFonts w:ascii="Arial" w:hAnsi="Arial" w:cs="Arial"/>
          <w:sz w:val="20"/>
          <w:szCs w:val="20"/>
        </w:rPr>
        <w:t xml:space="preserve"> Avance correspondiente a los contratos de proyectos para prestación de servicios celebrados por el Ayuntamiento, con datos acumulados al último día del tercer mes del trimestre de que se trate. (</w:t>
      </w:r>
      <w:r w:rsidR="00985263" w:rsidRPr="0087015A">
        <w:rPr>
          <w:rFonts w:ascii="Arial" w:hAnsi="Arial" w:cs="Arial"/>
          <w:sz w:val="20"/>
          <w:szCs w:val="20"/>
        </w:rPr>
        <w:t>De</w:t>
      </w:r>
      <w:r w:rsidR="006868E2">
        <w:rPr>
          <w:rFonts w:ascii="Arial" w:hAnsi="Arial" w:cs="Arial"/>
          <w:sz w:val="20"/>
          <w:szCs w:val="20"/>
        </w:rPr>
        <w:t xml:space="preserve"> conformidad  con el anexo 8).</w:t>
      </w:r>
    </w:p>
    <w:p w:rsidR="00985263" w:rsidRDefault="00985263" w:rsidP="006868E2">
      <w:pPr>
        <w:jc w:val="both"/>
        <w:rPr>
          <w:rFonts w:ascii="Arial" w:hAnsi="Arial" w:cs="Arial"/>
          <w:sz w:val="20"/>
          <w:szCs w:val="20"/>
        </w:rPr>
      </w:pPr>
    </w:p>
    <w:p w:rsidR="00985263" w:rsidRPr="006868E2" w:rsidRDefault="00985263" w:rsidP="0098526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868E2">
        <w:rPr>
          <w:rFonts w:ascii="Arial" w:hAnsi="Arial" w:cs="Arial"/>
          <w:bCs/>
          <w:color w:val="000000"/>
          <w:sz w:val="20"/>
          <w:szCs w:val="20"/>
        </w:rPr>
        <w:t xml:space="preserve">Se anexa escrito </w:t>
      </w:r>
    </w:p>
    <w:p w:rsidR="00985263" w:rsidRPr="0087015A" w:rsidRDefault="00985263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Pr="0087015A" w:rsidRDefault="0087015A" w:rsidP="006868E2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204E3">
        <w:rPr>
          <w:rFonts w:ascii="Arial" w:hAnsi="Arial" w:cs="Arial"/>
          <w:b/>
          <w:sz w:val="28"/>
          <w:szCs w:val="28"/>
        </w:rPr>
        <w:t>8.-</w:t>
      </w:r>
      <w:r w:rsidRPr="0087015A">
        <w:rPr>
          <w:rFonts w:ascii="Arial" w:hAnsi="Arial" w:cs="Arial"/>
          <w:sz w:val="20"/>
          <w:szCs w:val="20"/>
        </w:rPr>
        <w:t xml:space="preserve"> Reporte de la aplicación de la deuda pública adquirida para inversiones  públicas productivas conforme a los siguientes datos: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7015A">
        <w:rPr>
          <w:rFonts w:ascii="Arial" w:hAnsi="Arial" w:cs="Arial"/>
          <w:sz w:val="20"/>
          <w:szCs w:val="20"/>
        </w:rPr>
        <w:t>I. Fecha de la contratación;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II.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Tipo de obligación;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III.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Fin, destino y objeto;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IV.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Acreedor, proveedor o contratista;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V.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Importe total, desagregando capital e interés, a la fecha del reporte;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VI. </w:t>
      </w:r>
      <w:r w:rsidRPr="0087015A">
        <w:rPr>
          <w:rFonts w:ascii="Arial" w:hAnsi="Arial" w:cs="Arial"/>
          <w:bCs/>
          <w:sz w:val="20"/>
          <w:szCs w:val="20"/>
          <w:lang w:val="es-MX" w:eastAsia="es-MX"/>
        </w:rPr>
        <w:t>Garantía otorgada</w:t>
      </w:r>
      <w:r w:rsidRPr="0087015A">
        <w:rPr>
          <w:rFonts w:ascii="Arial" w:hAnsi="Arial" w:cs="Arial"/>
          <w:sz w:val="20"/>
          <w:szCs w:val="20"/>
          <w:lang w:val="es-MX" w:eastAsia="es-MX"/>
        </w:rPr>
        <w:t>;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sz w:val="20"/>
          <w:szCs w:val="20"/>
          <w:lang w:val="es-MX" w:eastAsia="es-MX"/>
        </w:rPr>
        <w:t>VII</w:t>
      </w:r>
      <w:r w:rsidRPr="0087015A">
        <w:rPr>
          <w:rFonts w:ascii="Arial" w:hAnsi="Arial" w:cs="Arial"/>
          <w:sz w:val="20"/>
          <w:szCs w:val="20"/>
          <w:lang w:val="es-MX" w:eastAsia="es-MX"/>
        </w:rPr>
        <w:t>. Plazo;</w:t>
      </w:r>
    </w:p>
    <w:p w:rsidR="0087015A" w:rsidRP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VIII. </w:t>
      </w:r>
      <w:r w:rsidRPr="0087015A">
        <w:rPr>
          <w:rFonts w:ascii="Arial" w:hAnsi="Arial" w:cs="Arial"/>
          <w:sz w:val="20"/>
          <w:szCs w:val="20"/>
          <w:lang w:val="es-MX" w:eastAsia="es-MX"/>
        </w:rPr>
        <w:t>Tasa a la que, en su caso, esté sujeta, y</w:t>
      </w:r>
    </w:p>
    <w:p w:rsidR="0087015A" w:rsidRDefault="0087015A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87015A">
        <w:rPr>
          <w:rFonts w:ascii="Arial" w:hAnsi="Arial" w:cs="Arial"/>
          <w:b/>
          <w:sz w:val="20"/>
          <w:szCs w:val="20"/>
          <w:lang w:val="es-MX" w:eastAsia="es-MX"/>
        </w:rPr>
        <w:t>IX</w:t>
      </w:r>
      <w:r w:rsidRPr="0087015A">
        <w:rPr>
          <w:rFonts w:ascii="Arial" w:hAnsi="Arial" w:cs="Arial"/>
          <w:sz w:val="20"/>
          <w:szCs w:val="20"/>
          <w:lang w:val="es-MX" w:eastAsia="es-MX"/>
        </w:rPr>
        <w:t>. Impo</w:t>
      </w:r>
      <w:r w:rsidR="00985263">
        <w:rPr>
          <w:rFonts w:ascii="Arial" w:hAnsi="Arial" w:cs="Arial"/>
          <w:sz w:val="20"/>
          <w:szCs w:val="20"/>
          <w:lang w:val="es-MX" w:eastAsia="es-MX"/>
        </w:rPr>
        <w:t>rte  de amortización mensual. (D</w:t>
      </w:r>
      <w:r w:rsidRPr="0087015A">
        <w:rPr>
          <w:rFonts w:ascii="Arial" w:hAnsi="Arial" w:cs="Arial"/>
          <w:sz w:val="20"/>
          <w:szCs w:val="20"/>
          <w:lang w:val="es-MX" w:eastAsia="es-MX"/>
        </w:rPr>
        <w:t>e conformidad al anexo 6).</w:t>
      </w:r>
    </w:p>
    <w:p w:rsidR="00985263" w:rsidRDefault="00985263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985263" w:rsidRPr="006868E2" w:rsidRDefault="00985263" w:rsidP="0098526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868E2">
        <w:rPr>
          <w:rFonts w:ascii="Arial" w:hAnsi="Arial" w:cs="Arial"/>
          <w:bCs/>
          <w:color w:val="000000"/>
          <w:sz w:val="20"/>
          <w:szCs w:val="20"/>
        </w:rPr>
        <w:t xml:space="preserve">Se anexa escrito </w:t>
      </w:r>
    </w:p>
    <w:p w:rsidR="00985263" w:rsidRPr="0087015A" w:rsidRDefault="00985263" w:rsidP="006868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87015A" w:rsidRDefault="0087015A" w:rsidP="006868E2">
      <w:pPr>
        <w:jc w:val="both"/>
        <w:rPr>
          <w:rFonts w:ascii="Arial" w:hAnsi="Arial" w:cs="Arial"/>
          <w:i/>
          <w:sz w:val="20"/>
          <w:szCs w:val="20"/>
          <w:lang w:val="es-MX" w:eastAsia="es-MX"/>
        </w:rPr>
      </w:pPr>
    </w:p>
    <w:p w:rsidR="006868E2" w:rsidRDefault="006868E2" w:rsidP="006868E2">
      <w:pPr>
        <w:jc w:val="both"/>
        <w:rPr>
          <w:rFonts w:ascii="Arial" w:hAnsi="Arial" w:cs="Arial"/>
          <w:i/>
          <w:sz w:val="20"/>
          <w:szCs w:val="20"/>
          <w:lang w:val="es-MX" w:eastAsia="es-MX"/>
        </w:rPr>
      </w:pPr>
    </w:p>
    <w:p w:rsidR="0075344B" w:rsidRDefault="0075344B" w:rsidP="006868E2">
      <w:pPr>
        <w:jc w:val="both"/>
        <w:rPr>
          <w:rFonts w:ascii="Arial" w:hAnsi="Arial" w:cs="Arial"/>
          <w:i/>
          <w:sz w:val="20"/>
          <w:szCs w:val="20"/>
          <w:lang w:val="es-MX" w:eastAsia="es-MX"/>
        </w:rPr>
      </w:pPr>
    </w:p>
    <w:p w:rsidR="0075344B" w:rsidRPr="0087015A" w:rsidRDefault="0075344B" w:rsidP="006868E2">
      <w:pPr>
        <w:jc w:val="both"/>
        <w:rPr>
          <w:rFonts w:ascii="Arial" w:hAnsi="Arial" w:cs="Arial"/>
          <w:i/>
          <w:sz w:val="20"/>
          <w:szCs w:val="20"/>
          <w:lang w:val="es-MX" w:eastAsia="es-MX"/>
        </w:rPr>
      </w:pPr>
    </w:p>
    <w:p w:rsidR="0087015A" w:rsidRDefault="0087015A" w:rsidP="006868E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7015A">
        <w:rPr>
          <w:rFonts w:ascii="Arial" w:hAnsi="Arial" w:cs="Arial"/>
          <w:b/>
          <w:bCs/>
          <w:color w:val="000000"/>
          <w:sz w:val="20"/>
          <w:szCs w:val="20"/>
        </w:rPr>
        <w:t>II EXPEDIENTE DE OBRA PÚBLICA:</w:t>
      </w:r>
    </w:p>
    <w:p w:rsidR="006868E2" w:rsidRDefault="006868E2" w:rsidP="006868E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68E2" w:rsidRPr="006868E2" w:rsidRDefault="006868E2" w:rsidP="006868E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868E2">
        <w:rPr>
          <w:rFonts w:ascii="Arial" w:hAnsi="Arial" w:cs="Arial"/>
          <w:bCs/>
          <w:color w:val="000000"/>
          <w:sz w:val="20"/>
          <w:szCs w:val="20"/>
        </w:rPr>
        <w:t xml:space="preserve">Se anexa escrito </w:t>
      </w:r>
    </w:p>
    <w:p w:rsidR="006868E2" w:rsidRPr="0087015A" w:rsidRDefault="006868E2" w:rsidP="006868E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015A" w:rsidRPr="0087015A" w:rsidRDefault="0087015A" w:rsidP="006868E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015A" w:rsidRPr="0087015A" w:rsidRDefault="0087015A" w:rsidP="0087015A">
      <w:pPr>
        <w:rPr>
          <w:b/>
          <w:sz w:val="20"/>
          <w:szCs w:val="20"/>
          <w:lang w:val="es-MX"/>
        </w:rPr>
      </w:pPr>
    </w:p>
    <w:sectPr w:rsidR="0087015A" w:rsidRPr="0087015A" w:rsidSect="00547148"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29DC"/>
    <w:multiLevelType w:val="hybridMultilevel"/>
    <w:tmpl w:val="E78203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B3AF2"/>
    <w:multiLevelType w:val="hybridMultilevel"/>
    <w:tmpl w:val="2F7C2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E69"/>
    <w:multiLevelType w:val="hybridMultilevel"/>
    <w:tmpl w:val="D58CEA62"/>
    <w:lvl w:ilvl="0" w:tplc="CD8C03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36211"/>
    <w:multiLevelType w:val="hybridMultilevel"/>
    <w:tmpl w:val="C94E2D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5A"/>
    <w:rsid w:val="00012E2A"/>
    <w:rsid w:val="00072FA5"/>
    <w:rsid w:val="00092200"/>
    <w:rsid w:val="00155CDA"/>
    <w:rsid w:val="001B1940"/>
    <w:rsid w:val="001F15E5"/>
    <w:rsid w:val="0027400A"/>
    <w:rsid w:val="002B4ABA"/>
    <w:rsid w:val="00352D72"/>
    <w:rsid w:val="004201CC"/>
    <w:rsid w:val="00435671"/>
    <w:rsid w:val="00524823"/>
    <w:rsid w:val="005361A5"/>
    <w:rsid w:val="00547148"/>
    <w:rsid w:val="0057528C"/>
    <w:rsid w:val="005956F2"/>
    <w:rsid w:val="006868E2"/>
    <w:rsid w:val="0075344B"/>
    <w:rsid w:val="0077278C"/>
    <w:rsid w:val="007825F1"/>
    <w:rsid w:val="00843939"/>
    <w:rsid w:val="00857940"/>
    <w:rsid w:val="0087015A"/>
    <w:rsid w:val="00985263"/>
    <w:rsid w:val="00A204E3"/>
    <w:rsid w:val="00AB0DDF"/>
    <w:rsid w:val="00AD507E"/>
    <w:rsid w:val="00AD640D"/>
    <w:rsid w:val="00B22756"/>
    <w:rsid w:val="00B430C8"/>
    <w:rsid w:val="00B95644"/>
    <w:rsid w:val="00D11A5E"/>
    <w:rsid w:val="00D47D86"/>
    <w:rsid w:val="00D64331"/>
    <w:rsid w:val="00D9214A"/>
    <w:rsid w:val="00D9301A"/>
    <w:rsid w:val="00DD2817"/>
    <w:rsid w:val="00E07DF5"/>
    <w:rsid w:val="00F37A7C"/>
    <w:rsid w:val="00F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89939-9321-4561-B322-88CA7980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1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27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75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0987-01E4-4CE0-AE06-F044601E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43</cp:revision>
  <cp:lastPrinted>2021-04-29T19:08:00Z</cp:lastPrinted>
  <dcterms:created xsi:type="dcterms:W3CDTF">2013-07-30T16:07:00Z</dcterms:created>
  <dcterms:modified xsi:type="dcterms:W3CDTF">2021-04-29T19:09:00Z</dcterms:modified>
</cp:coreProperties>
</file>